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9BE61" w14:textId="54595E96" w:rsidR="00AD0ADD" w:rsidRPr="00271C7B" w:rsidRDefault="00F811D1" w:rsidP="00AD0ADD">
      <w:pPr>
        <w:ind w:left="720" w:hanging="360"/>
        <w:jc w:val="center"/>
        <w:rPr>
          <w:b/>
          <w:bCs/>
        </w:rPr>
      </w:pPr>
      <w:r w:rsidRPr="00271C7B">
        <w:rPr>
          <w:b/>
          <w:bCs/>
        </w:rPr>
        <w:t xml:space="preserve">Tähelepanekud </w:t>
      </w:r>
      <w:r w:rsidR="00AD0ADD" w:rsidRPr="00271C7B">
        <w:rPr>
          <w:b/>
          <w:bCs/>
        </w:rPr>
        <w:t>ja ettepanekud</w:t>
      </w:r>
    </w:p>
    <w:p w14:paraId="17378DDC" w14:textId="71B3CB43" w:rsidR="00A11115" w:rsidRPr="00271C7B" w:rsidRDefault="00F811D1" w:rsidP="00AD0ADD">
      <w:pPr>
        <w:ind w:left="720" w:hanging="360"/>
        <w:jc w:val="center"/>
        <w:rPr>
          <w:b/>
          <w:bCs/>
        </w:rPr>
      </w:pPr>
      <w:r w:rsidRPr="00271C7B">
        <w:rPr>
          <w:b/>
          <w:bCs/>
        </w:rPr>
        <w:t xml:space="preserve">määruse „Toetus Kaitseväe </w:t>
      </w:r>
      <w:proofErr w:type="spellStart"/>
      <w:r w:rsidRPr="00271C7B">
        <w:rPr>
          <w:b/>
          <w:bCs/>
        </w:rPr>
        <w:t>Nursipalu</w:t>
      </w:r>
      <w:proofErr w:type="spellEnd"/>
      <w:r w:rsidRPr="00271C7B">
        <w:rPr>
          <w:b/>
          <w:bCs/>
        </w:rPr>
        <w:t xml:space="preserve"> harjutusväljast tulenevate häiringute mõjude leevendamiseks“ 19.04.2024 </w:t>
      </w:r>
      <w:r w:rsidR="00AD0ADD" w:rsidRPr="00271C7B">
        <w:rPr>
          <w:b/>
          <w:bCs/>
        </w:rPr>
        <w:t>eelnõu kohta</w:t>
      </w:r>
    </w:p>
    <w:p w14:paraId="33084C03" w14:textId="77777777" w:rsidR="00A11115" w:rsidRDefault="00A11115" w:rsidP="00E3323B">
      <w:pPr>
        <w:ind w:left="720" w:hanging="360"/>
      </w:pPr>
    </w:p>
    <w:p w14:paraId="3AD4ECEE" w14:textId="37483639" w:rsidR="004B5603" w:rsidRDefault="004B5603" w:rsidP="00E3323B">
      <w:pPr>
        <w:pStyle w:val="Loendilik"/>
        <w:numPr>
          <w:ilvl w:val="0"/>
          <w:numId w:val="1"/>
        </w:numPr>
      </w:pPr>
      <w:r w:rsidRPr="0093065B">
        <w:rPr>
          <w:b/>
          <w:bCs/>
        </w:rPr>
        <w:t>§ 3 lg (2)</w:t>
      </w:r>
      <w:r>
        <w:t xml:space="preserve"> </w:t>
      </w:r>
      <w:r w:rsidRPr="0093065B">
        <w:rPr>
          <w:i/>
          <w:iCs/>
        </w:rPr>
        <w:t>Kulud on abikõlblikud taotluse esitamise hetkest.</w:t>
      </w:r>
      <w:r>
        <w:t xml:space="preserve"> </w:t>
      </w:r>
    </w:p>
    <w:p w14:paraId="64D7C723" w14:textId="77777777" w:rsidR="004E26DE" w:rsidRDefault="004B5603" w:rsidP="00D8778D">
      <w:pPr>
        <w:ind w:left="709"/>
      </w:pPr>
      <w:r>
        <w:t xml:space="preserve">See tähendab, et aruande kontrollimisel tuleb iga taotluse puhul vaadata esitamise kuupäeva. </w:t>
      </w:r>
    </w:p>
    <w:p w14:paraId="0C50B571" w14:textId="47E98673" w:rsidR="00B11350" w:rsidRDefault="004B5603" w:rsidP="00D8778D">
      <w:pPr>
        <w:ind w:left="709"/>
        <w:rPr>
          <w:b/>
          <w:bCs/>
        </w:rPr>
      </w:pPr>
      <w:r>
        <w:t xml:space="preserve">Koormuse vähendamiseks </w:t>
      </w:r>
      <w:r w:rsidRPr="004B5603">
        <w:rPr>
          <w:b/>
          <w:bCs/>
        </w:rPr>
        <w:t>ettepanek ü</w:t>
      </w:r>
      <w:r w:rsidR="0091558F">
        <w:rPr>
          <w:b/>
          <w:bCs/>
        </w:rPr>
        <w:t>ldis</w:t>
      </w:r>
      <w:r w:rsidRPr="004B5603">
        <w:rPr>
          <w:b/>
          <w:bCs/>
        </w:rPr>
        <w:t>tada abikõlblikkuse aeg, kas taotlusvooru avamisest või lõppemisest.</w:t>
      </w:r>
    </w:p>
    <w:p w14:paraId="6B895F50" w14:textId="77777777" w:rsidR="00D867D4" w:rsidRDefault="00D867D4">
      <w:pPr>
        <w:rPr>
          <w:b/>
          <w:bCs/>
        </w:rPr>
      </w:pPr>
    </w:p>
    <w:p w14:paraId="1484AD84" w14:textId="38D681AE" w:rsidR="00D8778D" w:rsidRDefault="00D8778D" w:rsidP="00E3323B">
      <w:pPr>
        <w:pStyle w:val="Loendilik"/>
        <w:numPr>
          <w:ilvl w:val="0"/>
          <w:numId w:val="1"/>
        </w:numPr>
        <w:rPr>
          <w:b/>
          <w:bCs/>
        </w:rPr>
      </w:pPr>
      <w:r w:rsidRPr="00D8778D">
        <w:rPr>
          <w:b/>
          <w:bCs/>
        </w:rPr>
        <w:t>§ 5 lõiked 2 ja 3</w:t>
      </w:r>
    </w:p>
    <w:p w14:paraId="2C20F301" w14:textId="42492C06" w:rsidR="00D8778D" w:rsidRPr="00D8778D" w:rsidRDefault="00D8778D" w:rsidP="00D8778D">
      <w:pPr>
        <w:ind w:left="709"/>
      </w:pPr>
      <w:r w:rsidRPr="00D8778D">
        <w:t xml:space="preserve">Määruse lihtsama loetavuse huvides sõnastada </w:t>
      </w:r>
      <w:r w:rsidRPr="00D8778D">
        <w:t>§ 5 lõiked 2 ja 3</w:t>
      </w:r>
      <w:r w:rsidRPr="00D8778D">
        <w:t xml:space="preserve"> järgnevalt:</w:t>
      </w:r>
    </w:p>
    <w:p w14:paraId="19D57841" w14:textId="0E06E898" w:rsidR="00D8778D" w:rsidRPr="00D8778D" w:rsidRDefault="00D8778D" w:rsidP="00D8778D">
      <w:pPr>
        <w:ind w:left="709"/>
      </w:pPr>
      <w:r w:rsidRPr="00D8778D">
        <w:t xml:space="preserve">(2) Toetuse osakaal abikõlblikest kuludest on 90 protsenti, kui toetatav objekt asub 2000 meetri raadiuses harjutusvälja piirist. </w:t>
      </w:r>
    </w:p>
    <w:p w14:paraId="60254A59" w14:textId="6FDAF855" w:rsidR="00D8778D" w:rsidRPr="00D8778D" w:rsidRDefault="00D8778D" w:rsidP="00D8778D">
      <w:pPr>
        <w:ind w:left="709"/>
      </w:pPr>
      <w:r w:rsidRPr="00D8778D">
        <w:t>(3) Toetuse osakaal abikõlblikest kuludest on 70 protsenti, kui toetatav objekt asub 2000-4000 meetri raadiuses harjutusvälja piirist.</w:t>
      </w:r>
    </w:p>
    <w:p w14:paraId="59A62649" w14:textId="64BBD26E" w:rsidR="00665A63" w:rsidRPr="00665A63" w:rsidRDefault="00D34DCE" w:rsidP="00E3323B">
      <w:pPr>
        <w:pStyle w:val="Loendilik"/>
        <w:numPr>
          <w:ilvl w:val="0"/>
          <w:numId w:val="1"/>
        </w:numPr>
        <w:rPr>
          <w:b/>
          <w:bCs/>
          <w:i/>
          <w:iCs/>
        </w:rPr>
      </w:pPr>
      <w:r w:rsidRPr="00E3323B">
        <w:rPr>
          <w:b/>
          <w:bCs/>
        </w:rPr>
        <w:t xml:space="preserve">§ 8 lg  </w:t>
      </w:r>
      <w:r>
        <w:t xml:space="preserve">(3) </w:t>
      </w:r>
      <w:proofErr w:type="spellStart"/>
      <w:r w:rsidRPr="0091558F">
        <w:rPr>
          <w:i/>
          <w:iCs/>
          <w:highlight w:val="yellow"/>
        </w:rPr>
        <w:t>Menetleja</w:t>
      </w:r>
      <w:proofErr w:type="spellEnd"/>
      <w:r w:rsidRPr="0091558F">
        <w:rPr>
          <w:i/>
          <w:iCs/>
          <w:highlight w:val="yellow"/>
        </w:rPr>
        <w:t xml:space="preserve"> koostab taotluse vormi</w:t>
      </w:r>
      <w:r w:rsidRPr="0091558F">
        <w:rPr>
          <w:i/>
          <w:iCs/>
        </w:rPr>
        <w:t xml:space="preserve"> ja avaldab selle oma veebilehel ning edastab taotluse vormi harjutusvälja mõjualas asuvatele kohalikele omavalitsustele, kes avaldavad selle oma veebilehel koos lõikes 1 sätestatud teatega</w:t>
      </w:r>
      <w:r w:rsidR="0091558F">
        <w:rPr>
          <w:i/>
          <w:iCs/>
        </w:rPr>
        <w:t xml:space="preserve">. </w:t>
      </w:r>
    </w:p>
    <w:p w14:paraId="5617A7F1" w14:textId="77777777" w:rsidR="00665A63" w:rsidRPr="00665A63" w:rsidRDefault="00665A63" w:rsidP="00665A63">
      <w:pPr>
        <w:pStyle w:val="Loendilik"/>
        <w:rPr>
          <w:b/>
          <w:bCs/>
        </w:rPr>
      </w:pPr>
    </w:p>
    <w:p w14:paraId="5DCA8DC0" w14:textId="18A4A46B" w:rsidR="00D34DCE" w:rsidRPr="00665A63" w:rsidRDefault="0091558F" w:rsidP="00665A63">
      <w:pPr>
        <w:pStyle w:val="Loendilik"/>
        <w:rPr>
          <w:b/>
          <w:bCs/>
          <w:i/>
          <w:iCs/>
        </w:rPr>
      </w:pPr>
      <w:r w:rsidRPr="00665A63">
        <w:rPr>
          <w:b/>
          <w:bCs/>
        </w:rPr>
        <w:t xml:space="preserve">Ettepanek </w:t>
      </w:r>
      <w:r w:rsidR="007378C8">
        <w:rPr>
          <w:b/>
          <w:bCs/>
        </w:rPr>
        <w:t xml:space="preserve">- </w:t>
      </w:r>
      <w:r w:rsidR="00DF4640" w:rsidRPr="00665A63">
        <w:rPr>
          <w:b/>
          <w:bCs/>
        </w:rPr>
        <w:t xml:space="preserve">jätta taotluse jm vormide koostamine määrusest välja ja halduslepingus </w:t>
      </w:r>
      <w:r w:rsidR="00665A63" w:rsidRPr="00665A63">
        <w:rPr>
          <w:b/>
          <w:bCs/>
        </w:rPr>
        <w:t>sätestada ministeeriumi ülesandena.</w:t>
      </w:r>
    </w:p>
    <w:p w14:paraId="36182854" w14:textId="77777777" w:rsidR="00E3323B" w:rsidRDefault="00E3323B" w:rsidP="00E3323B">
      <w:pPr>
        <w:pStyle w:val="Loendilik"/>
      </w:pPr>
    </w:p>
    <w:p w14:paraId="4247493F" w14:textId="7C7CF36F" w:rsidR="00872708" w:rsidRPr="00665A63" w:rsidRDefault="00872708" w:rsidP="00E3323B">
      <w:pPr>
        <w:pStyle w:val="Loendilik"/>
        <w:numPr>
          <w:ilvl w:val="0"/>
          <w:numId w:val="1"/>
        </w:numPr>
        <w:rPr>
          <w:i/>
          <w:iCs/>
        </w:rPr>
      </w:pPr>
      <w:r w:rsidRPr="00665A63">
        <w:rPr>
          <w:b/>
          <w:bCs/>
        </w:rPr>
        <w:t xml:space="preserve">§ 9 lg  </w:t>
      </w:r>
      <w:r w:rsidR="009E0F82" w:rsidRPr="00665A63">
        <w:rPr>
          <w:b/>
          <w:bCs/>
        </w:rPr>
        <w:t>(1)</w:t>
      </w:r>
      <w:r w:rsidR="009E0F82">
        <w:t xml:space="preserve"> </w:t>
      </w:r>
      <w:r w:rsidR="009E0F82" w:rsidRPr="00665A63">
        <w:rPr>
          <w:i/>
          <w:iCs/>
        </w:rPr>
        <w:t xml:space="preserve">Toetuse taotlemiseks esitab taotleja taotluse </w:t>
      </w:r>
      <w:proofErr w:type="spellStart"/>
      <w:r w:rsidR="009E0F82" w:rsidRPr="00665A63">
        <w:rPr>
          <w:i/>
          <w:iCs/>
          <w:highlight w:val="yellow"/>
        </w:rPr>
        <w:t>menetleja</w:t>
      </w:r>
      <w:proofErr w:type="spellEnd"/>
      <w:r w:rsidR="009E0F82" w:rsidRPr="00665A63">
        <w:rPr>
          <w:i/>
          <w:iCs/>
          <w:highlight w:val="yellow"/>
        </w:rPr>
        <w:t xml:space="preserve"> e-posti aadressile</w:t>
      </w:r>
      <w:r w:rsidR="009E0F82" w:rsidRPr="00665A63">
        <w:rPr>
          <w:i/>
          <w:iCs/>
        </w:rPr>
        <w:t xml:space="preserve"> arenduskeskus@vorumaa.ee või postiaadressile Jüri 12, Võru, 65605, Võru maakond, § 8 lõikes 1 viidatud teates märgitud tähtaja jooksul.</w:t>
      </w:r>
    </w:p>
    <w:p w14:paraId="72A05D33" w14:textId="6E84B64C" w:rsidR="00665A63" w:rsidRPr="00665A63" w:rsidRDefault="00665A63" w:rsidP="00665A63">
      <w:pPr>
        <w:pStyle w:val="Loendilik"/>
        <w:rPr>
          <w:i/>
          <w:iCs/>
        </w:rPr>
      </w:pPr>
      <w:r>
        <w:rPr>
          <w:b/>
          <w:bCs/>
        </w:rPr>
        <w:t>Ettepanek</w:t>
      </w:r>
      <w:r w:rsidR="00A44839">
        <w:rPr>
          <w:b/>
          <w:bCs/>
        </w:rPr>
        <w:t xml:space="preserve"> </w:t>
      </w:r>
      <w:r w:rsidR="00027DE6">
        <w:rPr>
          <w:b/>
          <w:bCs/>
        </w:rPr>
        <w:t>muuta</w:t>
      </w:r>
      <w:r w:rsidR="007378C8">
        <w:rPr>
          <w:b/>
          <w:bCs/>
        </w:rPr>
        <w:t xml:space="preserve"> -</w:t>
      </w:r>
      <w:r w:rsidR="00027DE6">
        <w:rPr>
          <w:b/>
          <w:bCs/>
        </w:rPr>
        <w:t xml:space="preserve"> </w:t>
      </w:r>
      <w:r w:rsidR="007378C8">
        <w:rPr>
          <w:b/>
          <w:bCs/>
        </w:rPr>
        <w:t>taotlused esitatakse RTK e-toetuste keskkonnas.</w:t>
      </w:r>
    </w:p>
    <w:p w14:paraId="071552E6" w14:textId="77777777" w:rsidR="003E1DD6" w:rsidRDefault="003E1DD6" w:rsidP="003E1DD6">
      <w:pPr>
        <w:pStyle w:val="Loendilik"/>
      </w:pPr>
    </w:p>
    <w:p w14:paraId="1F93E06C" w14:textId="69F90E21" w:rsidR="003E1DD6" w:rsidRDefault="003E1DD6" w:rsidP="00E3323B">
      <w:pPr>
        <w:pStyle w:val="Loendilik"/>
        <w:numPr>
          <w:ilvl w:val="0"/>
          <w:numId w:val="1"/>
        </w:numPr>
      </w:pPr>
      <w:r w:rsidRPr="004E26DE">
        <w:rPr>
          <w:b/>
          <w:bCs/>
        </w:rPr>
        <w:t>§ 9</w:t>
      </w:r>
      <w:r w:rsidR="00D74CAF" w:rsidRPr="004E26DE">
        <w:rPr>
          <w:b/>
          <w:bCs/>
        </w:rPr>
        <w:t xml:space="preserve"> lg 2</w:t>
      </w:r>
      <w:r w:rsidR="00D74CAF">
        <w:t xml:space="preserve"> </w:t>
      </w:r>
      <w:r w:rsidR="00D74CAF" w:rsidRPr="004E26DE">
        <w:rPr>
          <w:i/>
          <w:iCs/>
        </w:rPr>
        <w:t xml:space="preserve">Kui taotleja on füüsiline isik, esitab ta taotluses järgmised andmed ja neid tõendavad dokumendid: 1) taotleja ees- ja perekonnanimi ning isikukood; 2) taotleja rahvastikuregistrijärgne elukoha aadress; 3) kui kinnisasjal on mitu omanikku, siis kõigi kaas- või </w:t>
      </w:r>
      <w:proofErr w:type="spellStart"/>
      <w:r w:rsidR="00D74CAF" w:rsidRPr="004E26DE">
        <w:rPr>
          <w:i/>
          <w:iCs/>
        </w:rPr>
        <w:t>ühisomanike</w:t>
      </w:r>
      <w:proofErr w:type="spellEnd"/>
      <w:r w:rsidR="00D74CAF" w:rsidRPr="004E26DE">
        <w:rPr>
          <w:i/>
          <w:iCs/>
        </w:rPr>
        <w:t xml:space="preserve"> ees- ja perekonnanimed ning isikukoodid; 4) toetatava objekti kinnistusregistri number; 5) teave väljavalitud hinnapakkumuse kohta; 6) taotletava toetuse summa; 7) taotletava toetuse osakaalu protsent; 8) toetatava tegevuse kirjeldus.</w:t>
      </w:r>
    </w:p>
    <w:p w14:paraId="266D7E18" w14:textId="77777777" w:rsidR="00D74CAF" w:rsidRDefault="00D74CAF" w:rsidP="00D74CAF">
      <w:pPr>
        <w:pStyle w:val="Loendilik"/>
      </w:pPr>
    </w:p>
    <w:p w14:paraId="771CC990" w14:textId="2582A373" w:rsidR="00D74CAF" w:rsidRPr="00B919E1" w:rsidRDefault="006519B3" w:rsidP="00D74CAF">
      <w:pPr>
        <w:pStyle w:val="Loendilik"/>
      </w:pPr>
      <w:r w:rsidRPr="00B919E1">
        <w:rPr>
          <w:highlight w:val="yellow"/>
        </w:rPr>
        <w:t>Mille kohta tuleb esitada tõendavad dokumendid</w:t>
      </w:r>
      <w:r w:rsidRPr="00F80E20">
        <w:rPr>
          <w:highlight w:val="yellow"/>
        </w:rPr>
        <w:t>?</w:t>
      </w:r>
      <w:r w:rsidR="00E3633F" w:rsidRPr="00F80E20">
        <w:rPr>
          <w:highlight w:val="yellow"/>
        </w:rPr>
        <w:t xml:space="preserve"> Seletuskirjas on ainult üks lause ja seal on nimetatud ainult andme</w:t>
      </w:r>
      <w:r w:rsidR="00161656" w:rsidRPr="00F80E20">
        <w:rPr>
          <w:highlight w:val="yellow"/>
        </w:rPr>
        <w:t>i</w:t>
      </w:r>
      <w:r w:rsidR="00E3633F" w:rsidRPr="00F80E20">
        <w:rPr>
          <w:highlight w:val="yellow"/>
        </w:rPr>
        <w:t>d</w:t>
      </w:r>
    </w:p>
    <w:p w14:paraId="414E1249" w14:textId="77777777" w:rsidR="00E3323B" w:rsidRDefault="00E3323B" w:rsidP="00E3323B">
      <w:pPr>
        <w:pStyle w:val="Loendilik"/>
      </w:pPr>
    </w:p>
    <w:p w14:paraId="69461309" w14:textId="12437FE9" w:rsidR="00B919E1" w:rsidRPr="00B919E1" w:rsidRDefault="00007C59" w:rsidP="00E3323B">
      <w:pPr>
        <w:pStyle w:val="Loendilik"/>
        <w:numPr>
          <w:ilvl w:val="0"/>
          <w:numId w:val="1"/>
        </w:numPr>
        <w:rPr>
          <w:highlight w:val="yellow"/>
        </w:rPr>
      </w:pPr>
      <w:r w:rsidRPr="00B919E1">
        <w:rPr>
          <w:b/>
          <w:bCs/>
        </w:rPr>
        <w:t>§ 10 lg  (1)</w:t>
      </w:r>
      <w:r>
        <w:t xml:space="preserve"> </w:t>
      </w:r>
      <w:r w:rsidRPr="00B919E1">
        <w:rPr>
          <w:i/>
          <w:iCs/>
        </w:rPr>
        <w:t>Koos taotlusega esitab taotleja iga § 2 lõikes 2 sätestatud toetatava tegevuse kohta, millele taotleja soovib toetust saada, vähemalt kaks võrreldavat hinnapakkumust. Eri tegevused võivad olla nii ühe kui ka mitme hinnapakkuja hinnapakkumuses</w:t>
      </w:r>
      <w:r w:rsidR="00B919E1">
        <w:rPr>
          <w:i/>
          <w:iCs/>
        </w:rPr>
        <w:t>.</w:t>
      </w:r>
    </w:p>
    <w:p w14:paraId="050B8FEE" w14:textId="4E3A5683" w:rsidR="00007C59" w:rsidRPr="00B919E1" w:rsidRDefault="006910F3" w:rsidP="00B919E1">
      <w:pPr>
        <w:ind w:left="708" w:firstLine="40"/>
        <w:rPr>
          <w:highlight w:val="yellow"/>
        </w:rPr>
      </w:pPr>
      <w:r w:rsidRPr="00B919E1">
        <w:rPr>
          <w:highlight w:val="yellow"/>
        </w:rPr>
        <w:lastRenderedPageBreak/>
        <w:t>Kui tege</w:t>
      </w:r>
      <w:r w:rsidR="009E566A" w:rsidRPr="00B919E1">
        <w:rPr>
          <w:highlight w:val="yellow"/>
        </w:rPr>
        <w:t>vused on mitmes hinnapakkumuses</w:t>
      </w:r>
      <w:r w:rsidR="00F670A7">
        <w:rPr>
          <w:highlight w:val="yellow"/>
        </w:rPr>
        <w:t xml:space="preserve"> ja mitmelt pakkujalt</w:t>
      </w:r>
      <w:r w:rsidR="009E566A" w:rsidRPr="00B919E1">
        <w:rPr>
          <w:highlight w:val="yellow"/>
        </w:rPr>
        <w:t>, kuidas siis toimub lepingu sõlmimine? Kas 2 lepingut?</w:t>
      </w:r>
    </w:p>
    <w:p w14:paraId="279D58BB" w14:textId="77777777" w:rsidR="00007C59" w:rsidRDefault="00007C59" w:rsidP="00007C59">
      <w:pPr>
        <w:pStyle w:val="Loendilik"/>
      </w:pPr>
    </w:p>
    <w:p w14:paraId="2C57D9DF" w14:textId="7160C681" w:rsidR="00E3323B" w:rsidRDefault="00F5339B" w:rsidP="00E3323B">
      <w:pPr>
        <w:pStyle w:val="Loendilik"/>
        <w:numPr>
          <w:ilvl w:val="0"/>
          <w:numId w:val="1"/>
        </w:numPr>
      </w:pPr>
      <w:r w:rsidRPr="00F5339B">
        <w:rPr>
          <w:b/>
          <w:bCs/>
        </w:rPr>
        <w:t>Ettepanek li</w:t>
      </w:r>
      <w:r w:rsidR="00C84FAD" w:rsidRPr="00F5339B">
        <w:rPr>
          <w:b/>
          <w:bCs/>
        </w:rPr>
        <w:t xml:space="preserve">sada </w:t>
      </w:r>
      <w:r w:rsidRPr="00F5339B">
        <w:rPr>
          <w:b/>
          <w:bCs/>
        </w:rPr>
        <w:t>h</w:t>
      </w:r>
      <w:r w:rsidR="00E3323B" w:rsidRPr="00F5339B">
        <w:rPr>
          <w:b/>
          <w:bCs/>
        </w:rPr>
        <w:t>innapakkum</w:t>
      </w:r>
      <w:r w:rsidR="0001193C" w:rsidRPr="00F5339B">
        <w:rPr>
          <w:b/>
          <w:bCs/>
        </w:rPr>
        <w:t>u</w:t>
      </w:r>
      <w:r w:rsidR="00E3323B" w:rsidRPr="00F5339B">
        <w:rPr>
          <w:b/>
          <w:bCs/>
        </w:rPr>
        <w:t>se kehtivus</w:t>
      </w:r>
      <w:r w:rsidR="006444E5" w:rsidRPr="00F5339B">
        <w:rPr>
          <w:b/>
          <w:bCs/>
        </w:rPr>
        <w:t xml:space="preserve"> – </w:t>
      </w:r>
      <w:r w:rsidR="00E42691" w:rsidRPr="00F5339B">
        <w:rPr>
          <w:b/>
          <w:bCs/>
        </w:rPr>
        <w:t xml:space="preserve">(nt </w:t>
      </w:r>
      <w:r w:rsidR="006444E5" w:rsidRPr="00F5339B">
        <w:rPr>
          <w:b/>
          <w:bCs/>
        </w:rPr>
        <w:t>vähemalt 6 kuud</w:t>
      </w:r>
      <w:r w:rsidR="00E42691" w:rsidRPr="00F5339B">
        <w:rPr>
          <w:b/>
          <w:bCs/>
        </w:rPr>
        <w:t>)</w:t>
      </w:r>
      <w:r w:rsidR="0098198A">
        <w:t>, et v</w:t>
      </w:r>
      <w:r w:rsidR="0001193C">
        <w:t xml:space="preserve">älistada olukorda, kus pakkumuse tegija loobub pakkumusest või </w:t>
      </w:r>
      <w:r w:rsidR="00E42691">
        <w:t>soovi</w:t>
      </w:r>
      <w:r w:rsidR="002870AB">
        <w:t xml:space="preserve">b </w:t>
      </w:r>
      <w:r>
        <w:t>k</w:t>
      </w:r>
      <w:r w:rsidR="002870AB">
        <w:t>allima</w:t>
      </w:r>
      <w:r>
        <w:t>t hinda</w:t>
      </w:r>
    </w:p>
    <w:p w14:paraId="3F733305" w14:textId="77777777" w:rsidR="006444E5" w:rsidRDefault="006444E5" w:rsidP="006444E5">
      <w:pPr>
        <w:pStyle w:val="Loendilik"/>
      </w:pPr>
    </w:p>
    <w:p w14:paraId="233B1579" w14:textId="0C638FDB" w:rsidR="00FA6397" w:rsidRDefault="00121C3F" w:rsidP="00FA6397">
      <w:pPr>
        <w:pStyle w:val="Loendilik"/>
      </w:pPr>
      <w:r>
        <w:t xml:space="preserve"> </w:t>
      </w:r>
    </w:p>
    <w:p w14:paraId="7DDA3BF4" w14:textId="77777777" w:rsidR="00D774A9" w:rsidRDefault="00D774A9" w:rsidP="00FA6397">
      <w:pPr>
        <w:pStyle w:val="Loendilik"/>
      </w:pPr>
    </w:p>
    <w:p w14:paraId="29806C45" w14:textId="5CBD186B" w:rsidR="002B65E7" w:rsidRDefault="00D774A9" w:rsidP="00D774A9">
      <w:pPr>
        <w:pStyle w:val="Loendilik"/>
        <w:numPr>
          <w:ilvl w:val="0"/>
          <w:numId w:val="1"/>
        </w:numPr>
      </w:pPr>
      <w:r w:rsidRPr="002B65E7">
        <w:rPr>
          <w:b/>
          <w:bCs/>
        </w:rPr>
        <w:t xml:space="preserve">§ 11 lg </w:t>
      </w:r>
      <w:r w:rsidR="00935410" w:rsidRPr="002B65E7">
        <w:rPr>
          <w:b/>
          <w:bCs/>
        </w:rPr>
        <w:t>(2)</w:t>
      </w:r>
      <w:r w:rsidR="00935410">
        <w:t xml:space="preserve"> </w:t>
      </w:r>
      <w:r w:rsidR="00935410" w:rsidRPr="002B65E7">
        <w:rPr>
          <w:i/>
          <w:iCs/>
        </w:rPr>
        <w:t xml:space="preserve">Taotluse esitamise tähtaega ei ennistata ning tähtajaks esitamata taotlus jäetakse läbi vaatamata ja </w:t>
      </w:r>
      <w:r w:rsidR="00935410" w:rsidRPr="002B65E7">
        <w:rPr>
          <w:i/>
          <w:iCs/>
          <w:highlight w:val="yellow"/>
        </w:rPr>
        <w:t>tagastatakse esitajale.</w:t>
      </w:r>
      <w:r w:rsidR="00935410" w:rsidRPr="002B65E7">
        <w:rPr>
          <w:i/>
          <w:iCs/>
        </w:rPr>
        <w:t xml:space="preserve"> </w:t>
      </w:r>
    </w:p>
    <w:p w14:paraId="4A089821" w14:textId="75660E96" w:rsidR="00D774A9" w:rsidRDefault="00935410" w:rsidP="002B65E7">
      <w:pPr>
        <w:pStyle w:val="Loendilik"/>
      </w:pPr>
      <w:r w:rsidRPr="002B65E7">
        <w:rPr>
          <w:highlight w:val="yellow"/>
        </w:rPr>
        <w:t xml:space="preserve">Kui taotluse esitamine toimub </w:t>
      </w:r>
      <w:proofErr w:type="spellStart"/>
      <w:r w:rsidRPr="002B65E7">
        <w:rPr>
          <w:highlight w:val="yellow"/>
        </w:rPr>
        <w:t>SFOSis</w:t>
      </w:r>
      <w:proofErr w:type="spellEnd"/>
      <w:r w:rsidRPr="002B65E7">
        <w:rPr>
          <w:highlight w:val="yellow"/>
        </w:rPr>
        <w:t>, siis</w:t>
      </w:r>
      <w:r w:rsidR="00787C08" w:rsidRPr="002B65E7">
        <w:rPr>
          <w:highlight w:val="yellow"/>
        </w:rPr>
        <w:t xml:space="preserve"> taotlust ei tagastata</w:t>
      </w:r>
      <w:r w:rsidR="00472D07" w:rsidRPr="002B65E7">
        <w:rPr>
          <w:highlight w:val="yellow"/>
        </w:rPr>
        <w:t xml:space="preserve"> – </w:t>
      </w:r>
      <w:r w:rsidR="002B65E7">
        <w:rPr>
          <w:highlight w:val="yellow"/>
        </w:rPr>
        <w:t xml:space="preserve">ettepanek </w:t>
      </w:r>
      <w:r w:rsidR="00472D07" w:rsidRPr="002B65E7">
        <w:rPr>
          <w:highlight w:val="yellow"/>
        </w:rPr>
        <w:t>muuta sõnastust</w:t>
      </w:r>
    </w:p>
    <w:p w14:paraId="7DC9F93C" w14:textId="77777777" w:rsidR="00472D07" w:rsidRDefault="00472D07" w:rsidP="002B65E7">
      <w:pPr>
        <w:pStyle w:val="Loendilik"/>
      </w:pPr>
    </w:p>
    <w:p w14:paraId="7D7F7835" w14:textId="77777777" w:rsidR="00D35CF6" w:rsidRDefault="00D35CF6"/>
    <w:p w14:paraId="3BC54CE3" w14:textId="77777777" w:rsidR="00D35CF6" w:rsidRPr="004B5603" w:rsidRDefault="00D35CF6">
      <w:pPr>
        <w:rPr>
          <w:b/>
          <w:bCs/>
        </w:rPr>
      </w:pPr>
    </w:p>
    <w:sectPr w:rsidR="00D35CF6" w:rsidRPr="004B5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421DE"/>
    <w:multiLevelType w:val="hybridMultilevel"/>
    <w:tmpl w:val="E6EED078"/>
    <w:lvl w:ilvl="0" w:tplc="4A6430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59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03"/>
    <w:rsid w:val="00007C59"/>
    <w:rsid w:val="0001193C"/>
    <w:rsid w:val="00027DE6"/>
    <w:rsid w:val="00121C3F"/>
    <w:rsid w:val="00161656"/>
    <w:rsid w:val="00254D12"/>
    <w:rsid w:val="00271C7B"/>
    <w:rsid w:val="002870AB"/>
    <w:rsid w:val="002B65E7"/>
    <w:rsid w:val="003E1DD6"/>
    <w:rsid w:val="00472D07"/>
    <w:rsid w:val="004B5603"/>
    <w:rsid w:val="004E26DE"/>
    <w:rsid w:val="00596204"/>
    <w:rsid w:val="006444E5"/>
    <w:rsid w:val="006519B3"/>
    <w:rsid w:val="00665A63"/>
    <w:rsid w:val="006910F3"/>
    <w:rsid w:val="006E4A54"/>
    <w:rsid w:val="007378C8"/>
    <w:rsid w:val="00770067"/>
    <w:rsid w:val="00787C08"/>
    <w:rsid w:val="00830A5F"/>
    <w:rsid w:val="00872708"/>
    <w:rsid w:val="008E1041"/>
    <w:rsid w:val="008F6459"/>
    <w:rsid w:val="0091558F"/>
    <w:rsid w:val="0093065B"/>
    <w:rsid w:val="00935410"/>
    <w:rsid w:val="0098198A"/>
    <w:rsid w:val="009E0F82"/>
    <w:rsid w:val="009E566A"/>
    <w:rsid w:val="00A11115"/>
    <w:rsid w:val="00A44839"/>
    <w:rsid w:val="00AD0ADD"/>
    <w:rsid w:val="00AF18D2"/>
    <w:rsid w:val="00B11350"/>
    <w:rsid w:val="00B919E1"/>
    <w:rsid w:val="00C84FAD"/>
    <w:rsid w:val="00D34DCE"/>
    <w:rsid w:val="00D35CF6"/>
    <w:rsid w:val="00D36D8E"/>
    <w:rsid w:val="00D74CAF"/>
    <w:rsid w:val="00D774A9"/>
    <w:rsid w:val="00D8086B"/>
    <w:rsid w:val="00D867D4"/>
    <w:rsid w:val="00D8778D"/>
    <w:rsid w:val="00DF4640"/>
    <w:rsid w:val="00E3323B"/>
    <w:rsid w:val="00E3633F"/>
    <w:rsid w:val="00E42691"/>
    <w:rsid w:val="00F51324"/>
    <w:rsid w:val="00F5339B"/>
    <w:rsid w:val="00F670A7"/>
    <w:rsid w:val="00F80E20"/>
    <w:rsid w:val="00F811D1"/>
    <w:rsid w:val="00FA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5E0A"/>
  <w15:chartTrackingRefBased/>
  <w15:docId w15:val="{2A3E28C4-74E7-457E-AA9C-99B5A6BB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B5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B5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B5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B5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B5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B5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B5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B5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B5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B5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B5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B5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B560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B560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B560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B560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B560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B560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B5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B5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B5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B5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B5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B560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B560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B560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B5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B560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B56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Kaire Trumm</dc:creator>
  <cp:keywords/>
  <dc:description/>
  <cp:lastModifiedBy>Tiit Toots</cp:lastModifiedBy>
  <cp:revision>2</cp:revision>
  <dcterms:created xsi:type="dcterms:W3CDTF">2024-05-30T13:01:00Z</dcterms:created>
  <dcterms:modified xsi:type="dcterms:W3CDTF">2024-05-30T13:01:00Z</dcterms:modified>
  <dc:title>Muudatusettepanekud Kaitseministri määruse "Toetus Kaitseväe Nursipalu harjutusväljast tulenevate häiringute mõjude leevendamiseks" eelnõusse</dc:title>
</cp:coreProperties>
</file>